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7D" w:rsidRPr="003D4A38" w:rsidRDefault="00DA127D" w:rsidP="00DA1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</w:p>
    <w:p w:rsidR="00DA127D" w:rsidRPr="003D4A38" w:rsidRDefault="004B450D" w:rsidP="00DA127D">
      <w:pPr>
        <w:spacing w:after="0" w:line="240" w:lineRule="auto"/>
        <w:jc w:val="center"/>
        <w:rPr>
          <w:sz w:val="28"/>
          <w:szCs w:val="28"/>
        </w:rPr>
      </w:pPr>
      <w:r w:rsidRPr="003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 за</w:t>
      </w:r>
      <w:r w:rsidR="00C7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DA127D" w:rsidRPr="003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A127D" w:rsidRPr="003D4A38" w:rsidRDefault="00DA127D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0F333D" w:rsidRPr="003D4A38" w:rsidRDefault="00436578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 xml:space="preserve">За </w:t>
      </w:r>
      <w:r w:rsidR="00914E3B">
        <w:rPr>
          <w:rFonts w:ascii="Times New Roman" w:hAnsi="Times New Roman" w:cs="Times New Roman"/>
          <w:sz w:val="28"/>
          <w:szCs w:val="28"/>
        </w:rPr>
        <w:t>2022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год в аппарат управления ГУП СК «Ставрополькрайводоканал»</w:t>
      </w:r>
      <w:r w:rsidR="00182BC5">
        <w:rPr>
          <w:rFonts w:ascii="Times New Roman" w:hAnsi="Times New Roman" w:cs="Times New Roman"/>
          <w:sz w:val="28"/>
          <w:szCs w:val="28"/>
        </w:rPr>
        <w:t xml:space="preserve"> поступило 2766</w:t>
      </w:r>
      <w:r w:rsidR="001D467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от жителей края</w:t>
      </w:r>
      <w:r w:rsidR="000F333D" w:rsidRPr="003D4A38">
        <w:rPr>
          <w:rFonts w:ascii="Times New Roman" w:hAnsi="Times New Roman" w:cs="Times New Roman"/>
          <w:sz w:val="28"/>
          <w:szCs w:val="28"/>
        </w:rPr>
        <w:t>.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</w:t>
      </w:r>
      <w:r w:rsidR="000F333D" w:rsidRPr="003D4A38">
        <w:rPr>
          <w:rFonts w:ascii="Times New Roman" w:hAnsi="Times New Roman" w:cs="Times New Roman"/>
          <w:sz w:val="28"/>
          <w:szCs w:val="28"/>
        </w:rPr>
        <w:t>И</w:t>
      </w:r>
      <w:r w:rsidR="00047DF1" w:rsidRPr="003D4A38">
        <w:rPr>
          <w:rFonts w:ascii="Times New Roman" w:hAnsi="Times New Roman" w:cs="Times New Roman"/>
          <w:sz w:val="28"/>
          <w:szCs w:val="28"/>
        </w:rPr>
        <w:t>з них</w:t>
      </w:r>
      <w:r w:rsidRPr="003D4A38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0F333D" w:rsidRPr="003D4A38">
        <w:rPr>
          <w:rFonts w:ascii="Times New Roman" w:hAnsi="Times New Roman" w:cs="Times New Roman"/>
          <w:sz w:val="28"/>
          <w:szCs w:val="28"/>
        </w:rPr>
        <w:t>:</w:t>
      </w:r>
    </w:p>
    <w:p w:rsidR="000F333D" w:rsidRPr="003D4A38" w:rsidRDefault="000F333D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-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в письменном </w:t>
      </w:r>
      <w:r w:rsidR="00E67F78">
        <w:rPr>
          <w:rFonts w:ascii="Times New Roman" w:hAnsi="Times New Roman" w:cs="Times New Roman"/>
          <w:sz w:val="28"/>
          <w:szCs w:val="28"/>
        </w:rPr>
        <w:t>виде 194</w:t>
      </w:r>
      <w:r w:rsidR="00327DE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436578" w:rsidRPr="003D4A38">
        <w:rPr>
          <w:rFonts w:ascii="Times New Roman" w:hAnsi="Times New Roman" w:cs="Times New Roman"/>
          <w:sz w:val="28"/>
          <w:szCs w:val="28"/>
        </w:rPr>
        <w:t>;</w:t>
      </w:r>
    </w:p>
    <w:p w:rsidR="00436578" w:rsidRDefault="000F333D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-</w:t>
      </w:r>
      <w:r w:rsidR="00436578" w:rsidRPr="003D4A38">
        <w:rPr>
          <w:rFonts w:ascii="Times New Roman" w:hAnsi="Times New Roman" w:cs="Times New Roman"/>
          <w:sz w:val="28"/>
          <w:szCs w:val="28"/>
        </w:rPr>
        <w:t xml:space="preserve"> п</w:t>
      </w:r>
      <w:r w:rsidR="00440039" w:rsidRPr="003D4A38">
        <w:rPr>
          <w:rFonts w:ascii="Times New Roman" w:hAnsi="Times New Roman" w:cs="Times New Roman"/>
          <w:sz w:val="28"/>
          <w:szCs w:val="28"/>
        </w:rPr>
        <w:t>о</w:t>
      </w:r>
      <w:r w:rsidR="001D4672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182BC5">
        <w:rPr>
          <w:rFonts w:ascii="Times New Roman" w:hAnsi="Times New Roman" w:cs="Times New Roman"/>
          <w:sz w:val="28"/>
          <w:szCs w:val="28"/>
        </w:rPr>
        <w:t>электронной почты 1510</w:t>
      </w:r>
      <w:r w:rsidR="00327DE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36578" w:rsidRPr="003D4A38">
        <w:rPr>
          <w:rFonts w:ascii="Times New Roman" w:hAnsi="Times New Roman" w:cs="Times New Roman"/>
          <w:sz w:val="28"/>
          <w:szCs w:val="28"/>
        </w:rPr>
        <w:t>;</w:t>
      </w:r>
    </w:p>
    <w:p w:rsidR="00E67F78" w:rsidRPr="001A671C" w:rsidRDefault="00E67F78" w:rsidP="00E67F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A671C">
        <w:rPr>
          <w:rFonts w:ascii="Times New Roman" w:hAnsi="Times New Roman" w:cs="Times New Roman"/>
          <w:sz w:val="28"/>
          <w:szCs w:val="28"/>
        </w:rPr>
        <w:t xml:space="preserve">- личный </w:t>
      </w:r>
      <w:r w:rsidR="001A671C" w:rsidRPr="001A671C">
        <w:rPr>
          <w:rFonts w:ascii="Times New Roman" w:hAnsi="Times New Roman" w:cs="Times New Roman"/>
          <w:sz w:val="28"/>
          <w:szCs w:val="28"/>
        </w:rPr>
        <w:t>прием – 3</w:t>
      </w:r>
      <w:r w:rsidRPr="001A671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A671C" w:rsidRPr="001A671C">
        <w:rPr>
          <w:rFonts w:ascii="Times New Roman" w:hAnsi="Times New Roman" w:cs="Times New Roman"/>
          <w:sz w:val="28"/>
          <w:szCs w:val="28"/>
        </w:rPr>
        <w:t>ина</w:t>
      </w:r>
      <w:r w:rsidRPr="001A671C">
        <w:rPr>
          <w:rFonts w:ascii="Times New Roman" w:hAnsi="Times New Roman" w:cs="Times New Roman"/>
          <w:sz w:val="28"/>
          <w:szCs w:val="28"/>
        </w:rPr>
        <w:t>;</w:t>
      </w:r>
    </w:p>
    <w:p w:rsidR="00E67F78" w:rsidRDefault="00436578" w:rsidP="00E67F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 xml:space="preserve">- </w:t>
      </w:r>
      <w:r w:rsidR="00055B0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3D4A38">
        <w:rPr>
          <w:rFonts w:ascii="Times New Roman" w:hAnsi="Times New Roman" w:cs="Times New Roman"/>
          <w:sz w:val="28"/>
          <w:szCs w:val="28"/>
        </w:rPr>
        <w:t>запросов выше</w:t>
      </w:r>
      <w:r w:rsidR="001D4672">
        <w:rPr>
          <w:rFonts w:ascii="Times New Roman" w:hAnsi="Times New Roman" w:cs="Times New Roman"/>
          <w:sz w:val="28"/>
          <w:szCs w:val="28"/>
        </w:rPr>
        <w:t>с</w:t>
      </w:r>
      <w:r w:rsidR="00182BC5">
        <w:rPr>
          <w:rFonts w:ascii="Times New Roman" w:hAnsi="Times New Roman" w:cs="Times New Roman"/>
          <w:sz w:val="28"/>
          <w:szCs w:val="28"/>
        </w:rPr>
        <w:t>тоящих органов в количестве 1058</w:t>
      </w:r>
      <w:r w:rsidR="00E67F78">
        <w:rPr>
          <w:rFonts w:ascii="Times New Roman" w:hAnsi="Times New Roman" w:cs="Times New Roman"/>
          <w:sz w:val="28"/>
          <w:szCs w:val="28"/>
        </w:rPr>
        <w:t>;</w:t>
      </w:r>
    </w:p>
    <w:p w:rsidR="00E67F78" w:rsidRPr="001A671C" w:rsidRDefault="00E67F78" w:rsidP="00E67F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A671C">
        <w:rPr>
          <w:rFonts w:ascii="Times New Roman" w:hAnsi="Times New Roman" w:cs="Times New Roman"/>
          <w:sz w:val="28"/>
          <w:szCs w:val="28"/>
        </w:rPr>
        <w:t>- по телефону «горячей линии» 1 гражданин.</w:t>
      </w:r>
    </w:p>
    <w:p w:rsidR="00055B00" w:rsidRDefault="00055B00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74484" w:rsidRDefault="00436578" w:rsidP="00E7448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В сравнение</w:t>
      </w:r>
      <w:r w:rsidR="00E67F78">
        <w:rPr>
          <w:rFonts w:ascii="Times New Roman" w:hAnsi="Times New Roman" w:cs="Times New Roman"/>
          <w:sz w:val="28"/>
          <w:szCs w:val="28"/>
        </w:rPr>
        <w:t xml:space="preserve"> с аналогичным периодом (2021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год) у</w:t>
      </w:r>
      <w:r w:rsidR="00E67F78">
        <w:rPr>
          <w:rFonts w:ascii="Times New Roman" w:hAnsi="Times New Roman" w:cs="Times New Roman"/>
          <w:sz w:val="28"/>
          <w:szCs w:val="28"/>
        </w:rPr>
        <w:t>меньшилось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общее кол</w:t>
      </w:r>
      <w:r w:rsidR="00CC1B69">
        <w:rPr>
          <w:rFonts w:ascii="Times New Roman" w:hAnsi="Times New Roman" w:cs="Times New Roman"/>
          <w:sz w:val="28"/>
          <w:szCs w:val="28"/>
        </w:rPr>
        <w:t>ичество обращений граждан на 260</w:t>
      </w:r>
      <w:r w:rsidR="002959C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67F78">
        <w:rPr>
          <w:rFonts w:ascii="Times New Roman" w:hAnsi="Times New Roman" w:cs="Times New Roman"/>
          <w:sz w:val="28"/>
          <w:szCs w:val="28"/>
        </w:rPr>
        <w:t xml:space="preserve"> </w:t>
      </w:r>
      <w:r w:rsidR="00713FE4">
        <w:rPr>
          <w:rFonts w:ascii="Times New Roman" w:hAnsi="Times New Roman" w:cs="Times New Roman"/>
          <w:sz w:val="28"/>
          <w:szCs w:val="28"/>
        </w:rPr>
        <w:t>(</w:t>
      </w:r>
      <w:r w:rsidR="00713FE4" w:rsidRPr="003D4A38">
        <w:rPr>
          <w:rFonts w:ascii="Times New Roman" w:hAnsi="Times New Roman" w:cs="Times New Roman"/>
          <w:sz w:val="28"/>
          <w:szCs w:val="28"/>
        </w:rPr>
        <w:t>8</w:t>
      </w:r>
      <w:r w:rsidR="00CC1B69">
        <w:rPr>
          <w:rFonts w:ascii="Times New Roman" w:hAnsi="Times New Roman" w:cs="Times New Roman"/>
          <w:sz w:val="28"/>
          <w:szCs w:val="28"/>
        </w:rPr>
        <w:t>,6</w:t>
      </w:r>
      <w:r w:rsidR="00E74484">
        <w:rPr>
          <w:rFonts w:ascii="Times New Roman" w:hAnsi="Times New Roman" w:cs="Times New Roman"/>
          <w:sz w:val="28"/>
          <w:szCs w:val="28"/>
        </w:rPr>
        <w:t xml:space="preserve"> </w:t>
      </w:r>
      <w:r w:rsidR="00047DF1" w:rsidRPr="003D4A38">
        <w:rPr>
          <w:rFonts w:ascii="Times New Roman" w:hAnsi="Times New Roman" w:cs="Times New Roman"/>
          <w:sz w:val="28"/>
          <w:szCs w:val="28"/>
        </w:rPr>
        <w:t>%).</w:t>
      </w:r>
    </w:p>
    <w:p w:rsidR="00E74484" w:rsidRPr="00E74484" w:rsidRDefault="00E74484" w:rsidP="00E7448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74484">
        <w:rPr>
          <w:rFonts w:ascii="Times New Roman" w:hAnsi="Times New Roman" w:cs="Times New Roman"/>
          <w:sz w:val="28"/>
          <w:szCs w:val="28"/>
        </w:rPr>
        <w:t>Повышение открытости Предприятия, увеличение количества способов обратной связи, расширение присутствия на различных площадках в информационно-телекоммуникационной сети «Интернет», оперативное решение вопросов граждан, привело к снижению количества обращений граждан в адрес Предприятия, в рамках Федерального закона «О порядке рассмотрения обращений граждан Российской Федерации» от 02.05.2006 № 59-ФЗ.</w:t>
      </w:r>
    </w:p>
    <w:p w:rsidR="008E39E6" w:rsidRPr="00436578" w:rsidRDefault="008E39E6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047DF1" w:rsidRDefault="006E5A83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3578D6" wp14:editId="57696190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6467475" cy="4791075"/>
            <wp:effectExtent l="0" t="0" r="9525" b="9525"/>
            <wp:wrapNone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Pr="000D7029" w:rsidRDefault="00047DF1" w:rsidP="00047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6016" w:rsidRDefault="00C4601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6016" w:rsidRDefault="00C4601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E7448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E7448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обращений граждан, поступивших в аппарат управления</w:t>
      </w: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СК «Ставрополькрайводоканал»</w:t>
      </w:r>
      <w:r w:rsidR="00C71D19">
        <w:rPr>
          <w:rFonts w:ascii="Times New Roman" w:hAnsi="Times New Roman" w:cs="Times New Roman"/>
          <w:sz w:val="28"/>
          <w:szCs w:val="28"/>
        </w:rPr>
        <w:t xml:space="preserve"> за 2022</w:t>
      </w:r>
      <w:r w:rsidR="002959C3">
        <w:rPr>
          <w:rFonts w:ascii="Times New Roman" w:hAnsi="Times New Roman" w:cs="Times New Roman"/>
          <w:sz w:val="28"/>
          <w:szCs w:val="28"/>
        </w:rPr>
        <w:t xml:space="preserve"> год</w:t>
      </w:r>
      <w:r w:rsidR="0013101F">
        <w:rPr>
          <w:rFonts w:ascii="Times New Roman" w:hAnsi="Times New Roman" w:cs="Times New Roman"/>
          <w:sz w:val="28"/>
          <w:szCs w:val="28"/>
        </w:rPr>
        <w:t xml:space="preserve"> в сравнении с 202</w:t>
      </w:r>
      <w:r w:rsidR="00C71D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</w:p>
    <w:p w:rsidR="00284E06" w:rsidRDefault="00284E0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2F3A" w:rsidRDefault="001B2F3A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4E06" w:rsidRDefault="00284E0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560"/>
        <w:gridCol w:w="2388"/>
      </w:tblGrid>
      <w:tr w:rsidR="007848BB" w:rsidTr="00D21E9F">
        <w:tc>
          <w:tcPr>
            <w:tcW w:w="4390" w:type="dxa"/>
          </w:tcPr>
          <w:p w:rsidR="007848BB" w:rsidRDefault="007848BB" w:rsidP="00047D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48BB" w:rsidRPr="007848BB" w:rsidRDefault="00787F75" w:rsidP="00047DF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7848BB" w:rsidRPr="0078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7848BB" w:rsidRPr="007848BB" w:rsidRDefault="007848BB" w:rsidP="00047DF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848BB" w:rsidRPr="007848BB" w:rsidRDefault="00787F75" w:rsidP="007848BB">
            <w:pPr>
              <w:spacing w:after="0" w:line="240" w:lineRule="exact"/>
              <w:ind w:left="-1380" w:firstLine="13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7848BB" w:rsidRPr="0078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388" w:type="dxa"/>
          </w:tcPr>
          <w:p w:rsidR="007848BB" w:rsidRPr="007848BB" w:rsidRDefault="007848BB" w:rsidP="007848BB">
            <w:pPr>
              <w:spacing w:after="0" w:line="240" w:lineRule="exact"/>
              <w:ind w:left="-1380" w:firstLine="13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B"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Отклонения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DA2DA6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2766</w:t>
            </w:r>
          </w:p>
        </w:tc>
        <w:tc>
          <w:tcPr>
            <w:tcW w:w="1560" w:type="dxa"/>
            <w:vAlign w:val="center"/>
          </w:tcPr>
          <w:p w:rsidR="007848BB" w:rsidRPr="007848BB" w:rsidRDefault="00787F75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b/>
                <w:sz w:val="28"/>
                <w:szCs w:val="28"/>
              </w:rPr>
              <w:t>3026</w:t>
            </w:r>
          </w:p>
        </w:tc>
        <w:tc>
          <w:tcPr>
            <w:tcW w:w="2388" w:type="dxa"/>
            <w:vAlign w:val="center"/>
          </w:tcPr>
          <w:p w:rsidR="007848BB" w:rsidRDefault="00632C06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7194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48BB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 xml:space="preserve"> - письменных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7F75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560" w:type="dxa"/>
            <w:vAlign w:val="center"/>
          </w:tcPr>
          <w:p w:rsidR="007848BB" w:rsidRDefault="00787F75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388" w:type="dxa"/>
            <w:vAlign w:val="center"/>
          </w:tcPr>
          <w:p w:rsidR="007848BB" w:rsidRDefault="00D64FE9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- посредством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DA2DA6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1560" w:type="dxa"/>
            <w:vAlign w:val="center"/>
          </w:tcPr>
          <w:p w:rsidR="007848BB" w:rsidRDefault="00787F75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</w:t>
            </w:r>
          </w:p>
        </w:tc>
        <w:tc>
          <w:tcPr>
            <w:tcW w:w="2388" w:type="dxa"/>
            <w:vAlign w:val="center"/>
          </w:tcPr>
          <w:p w:rsidR="007848BB" w:rsidRDefault="007248F5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- личный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5E62E7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  <w:vAlign w:val="center"/>
          </w:tcPr>
          <w:p w:rsidR="007848BB" w:rsidRDefault="003B4E1F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- запросов по обращениям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DA2DA6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  <w:tc>
          <w:tcPr>
            <w:tcW w:w="1560" w:type="dxa"/>
            <w:vAlign w:val="center"/>
          </w:tcPr>
          <w:p w:rsidR="007848BB" w:rsidRDefault="00787F75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2388" w:type="dxa"/>
            <w:vAlign w:val="center"/>
          </w:tcPr>
          <w:p w:rsidR="007848BB" w:rsidRDefault="007248F5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-162</w:t>
            </w:r>
          </w:p>
        </w:tc>
      </w:tr>
      <w:tr w:rsidR="007848BB" w:rsidTr="00E81845">
        <w:trPr>
          <w:trHeight w:val="2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45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- горячая линия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7F75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48BB" w:rsidRDefault="00787F75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88" w:type="dxa"/>
            <w:vAlign w:val="center"/>
          </w:tcPr>
          <w:p w:rsidR="007848BB" w:rsidRDefault="00D64FE9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</w:tbl>
    <w:p w:rsidR="00284E06" w:rsidRDefault="00284E06" w:rsidP="00594E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A22132" w:rsidRDefault="003D4A38" w:rsidP="003D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обращений граждан по месяцам</w:t>
      </w:r>
      <w:r w:rsidR="0067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20" w:rsidRDefault="002959C3" w:rsidP="003D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  <w:r w:rsidR="00324D04">
        <w:rPr>
          <w:rFonts w:ascii="Times New Roman" w:hAnsi="Times New Roman" w:cs="Times New Roman"/>
          <w:sz w:val="28"/>
          <w:szCs w:val="28"/>
        </w:rPr>
        <w:t xml:space="preserve"> в сравнении с 2021</w:t>
      </w:r>
      <w:r w:rsidR="006758D3">
        <w:rPr>
          <w:rFonts w:ascii="Times New Roman" w:hAnsi="Times New Roman" w:cs="Times New Roman"/>
          <w:sz w:val="28"/>
          <w:szCs w:val="28"/>
        </w:rPr>
        <w:t xml:space="preserve"> годом</w:t>
      </w:r>
    </w:p>
    <w:p w:rsidR="001B2F3A" w:rsidRDefault="001B2F3A" w:rsidP="0004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3A" w:rsidRDefault="001B2F3A" w:rsidP="0004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3A" w:rsidRPr="00594EDA" w:rsidRDefault="00106E57" w:rsidP="00594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E3DCF9" wp14:editId="019FC160">
            <wp:extent cx="6480175" cy="2916555"/>
            <wp:effectExtent l="0" t="0" r="1587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46B4E">
        <w:rPr>
          <w:noProof/>
          <w:lang w:eastAsia="ru-RU"/>
        </w:rPr>
        <w:tab/>
      </w:r>
      <w:r w:rsidR="000A4C60">
        <w:rPr>
          <w:noProof/>
          <w:lang w:eastAsia="ru-RU"/>
        </w:rPr>
        <w:tab/>
      </w:r>
    </w:p>
    <w:p w:rsidR="008E39E6" w:rsidRDefault="008E39E6" w:rsidP="00BB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1"/>
        <w:gridCol w:w="708"/>
      </w:tblGrid>
      <w:tr w:rsidR="003566DA" w:rsidRPr="00BD487E" w:rsidTr="00897E67">
        <w:trPr>
          <w:trHeight w:val="840"/>
        </w:trPr>
        <w:tc>
          <w:tcPr>
            <w:tcW w:w="704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0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сен-тябрь</w:t>
            </w:r>
          </w:p>
        </w:tc>
        <w:tc>
          <w:tcPr>
            <w:tcW w:w="850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1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8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3566DA" w:rsidRPr="00D37B45" w:rsidTr="00897E67">
        <w:trPr>
          <w:trHeight w:val="320"/>
        </w:trPr>
        <w:tc>
          <w:tcPr>
            <w:tcW w:w="704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74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74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144537" w:rsidRPr="0071749A" w:rsidRDefault="00F25C71" w:rsidP="003566DA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709" w:type="dxa"/>
          </w:tcPr>
          <w:p w:rsidR="00144537" w:rsidRPr="0071749A" w:rsidRDefault="00F25C71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08" w:type="dxa"/>
          </w:tcPr>
          <w:p w:rsidR="00144537" w:rsidRPr="0071749A" w:rsidRDefault="009136FA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709" w:type="dxa"/>
          </w:tcPr>
          <w:p w:rsidR="00144537" w:rsidRPr="0071749A" w:rsidRDefault="00F25C71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709" w:type="dxa"/>
          </w:tcPr>
          <w:p w:rsidR="00144537" w:rsidRPr="0071749A" w:rsidRDefault="00216FCF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  <w:p w:rsidR="00144537" w:rsidRPr="0071749A" w:rsidRDefault="00144537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44537" w:rsidRPr="0071749A" w:rsidRDefault="00216FCF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709" w:type="dxa"/>
          </w:tcPr>
          <w:p w:rsidR="00144537" w:rsidRPr="0071749A" w:rsidRDefault="00216FCF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4537" w:rsidRPr="0071749A" w:rsidRDefault="00F25C71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537" w:rsidRPr="0071749A" w:rsidRDefault="00F25C71" w:rsidP="003566D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9A">
              <w:rPr>
                <w:rFonts w:ascii="Times New Roman" w:hAnsi="Times New Roman" w:cs="Times New Roman"/>
                <w:sz w:val="16"/>
                <w:szCs w:val="16"/>
              </w:rPr>
              <w:t>2766</w:t>
            </w:r>
          </w:p>
        </w:tc>
      </w:tr>
    </w:tbl>
    <w:p w:rsidR="008E39E6" w:rsidRDefault="008E39E6"/>
    <w:p w:rsidR="001B2F3A" w:rsidRDefault="001B2F3A"/>
    <w:p w:rsidR="00DA127D" w:rsidRPr="008E39E6" w:rsidRDefault="00DA127D" w:rsidP="008E39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127D" w:rsidRPr="008E39E6" w:rsidSect="00047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C7" w:rsidRDefault="003F02C7" w:rsidP="00554E1B">
      <w:pPr>
        <w:spacing w:after="0" w:line="240" w:lineRule="auto"/>
      </w:pPr>
      <w:r>
        <w:separator/>
      </w:r>
    </w:p>
  </w:endnote>
  <w:endnote w:type="continuationSeparator" w:id="0">
    <w:p w:rsidR="003F02C7" w:rsidRDefault="003F02C7" w:rsidP="0055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C7" w:rsidRDefault="003F02C7" w:rsidP="00554E1B">
      <w:pPr>
        <w:spacing w:after="0" w:line="240" w:lineRule="auto"/>
      </w:pPr>
      <w:r>
        <w:separator/>
      </w:r>
    </w:p>
  </w:footnote>
  <w:footnote w:type="continuationSeparator" w:id="0">
    <w:p w:rsidR="003F02C7" w:rsidRDefault="003F02C7" w:rsidP="00554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2E"/>
    <w:rsid w:val="00003617"/>
    <w:rsid w:val="00014464"/>
    <w:rsid w:val="00015047"/>
    <w:rsid w:val="000279B3"/>
    <w:rsid w:val="00047DF1"/>
    <w:rsid w:val="0005232C"/>
    <w:rsid w:val="00055B00"/>
    <w:rsid w:val="00075C3F"/>
    <w:rsid w:val="00093E62"/>
    <w:rsid w:val="000A4C60"/>
    <w:rsid w:val="000A5049"/>
    <w:rsid w:val="000B5CDE"/>
    <w:rsid w:val="000F333D"/>
    <w:rsid w:val="00100848"/>
    <w:rsid w:val="001044F2"/>
    <w:rsid w:val="00105F89"/>
    <w:rsid w:val="00106E57"/>
    <w:rsid w:val="00120A87"/>
    <w:rsid w:val="0013101F"/>
    <w:rsid w:val="001312AE"/>
    <w:rsid w:val="00142D24"/>
    <w:rsid w:val="00144537"/>
    <w:rsid w:val="00144C19"/>
    <w:rsid w:val="00145911"/>
    <w:rsid w:val="0014718A"/>
    <w:rsid w:val="00167335"/>
    <w:rsid w:val="00170FCE"/>
    <w:rsid w:val="00182BC5"/>
    <w:rsid w:val="00185A2E"/>
    <w:rsid w:val="00186863"/>
    <w:rsid w:val="001A671C"/>
    <w:rsid w:val="001B2F3A"/>
    <w:rsid w:val="001D4672"/>
    <w:rsid w:val="001F0B8E"/>
    <w:rsid w:val="001F7FBD"/>
    <w:rsid w:val="00205E1A"/>
    <w:rsid w:val="00207D4A"/>
    <w:rsid w:val="002103E3"/>
    <w:rsid w:val="00216FCF"/>
    <w:rsid w:val="0023057F"/>
    <w:rsid w:val="00233B09"/>
    <w:rsid w:val="00284E06"/>
    <w:rsid w:val="002959C3"/>
    <w:rsid w:val="002A2CFE"/>
    <w:rsid w:val="002A669C"/>
    <w:rsid w:val="00324D04"/>
    <w:rsid w:val="00327DE1"/>
    <w:rsid w:val="00336D16"/>
    <w:rsid w:val="003566DA"/>
    <w:rsid w:val="00366103"/>
    <w:rsid w:val="003715E0"/>
    <w:rsid w:val="003B4E1F"/>
    <w:rsid w:val="003D4A38"/>
    <w:rsid w:val="003D4AFF"/>
    <w:rsid w:val="003F02C7"/>
    <w:rsid w:val="003F3442"/>
    <w:rsid w:val="003F712D"/>
    <w:rsid w:val="004236B1"/>
    <w:rsid w:val="0043644B"/>
    <w:rsid w:val="00436578"/>
    <w:rsid w:val="00440039"/>
    <w:rsid w:val="004450C7"/>
    <w:rsid w:val="00461431"/>
    <w:rsid w:val="00464930"/>
    <w:rsid w:val="004A5F40"/>
    <w:rsid w:val="004B450D"/>
    <w:rsid w:val="004D20BF"/>
    <w:rsid w:val="004E0153"/>
    <w:rsid w:val="004E095B"/>
    <w:rsid w:val="004E5F0C"/>
    <w:rsid w:val="004E7194"/>
    <w:rsid w:val="00554E1B"/>
    <w:rsid w:val="00594EDA"/>
    <w:rsid w:val="005A515D"/>
    <w:rsid w:val="005B28A3"/>
    <w:rsid w:val="005B2A04"/>
    <w:rsid w:val="005B3328"/>
    <w:rsid w:val="005C2475"/>
    <w:rsid w:val="005E62E7"/>
    <w:rsid w:val="005F450F"/>
    <w:rsid w:val="006031C6"/>
    <w:rsid w:val="006109B1"/>
    <w:rsid w:val="00632C06"/>
    <w:rsid w:val="00647EE2"/>
    <w:rsid w:val="00652655"/>
    <w:rsid w:val="00671510"/>
    <w:rsid w:val="006758D3"/>
    <w:rsid w:val="0067771B"/>
    <w:rsid w:val="00684421"/>
    <w:rsid w:val="00684FF9"/>
    <w:rsid w:val="006A48BB"/>
    <w:rsid w:val="006A62BA"/>
    <w:rsid w:val="006B0ADB"/>
    <w:rsid w:val="006C285B"/>
    <w:rsid w:val="006C32E5"/>
    <w:rsid w:val="006D1114"/>
    <w:rsid w:val="006E5A83"/>
    <w:rsid w:val="00711128"/>
    <w:rsid w:val="00713FE4"/>
    <w:rsid w:val="0071749A"/>
    <w:rsid w:val="00720FE2"/>
    <w:rsid w:val="007248F5"/>
    <w:rsid w:val="00735A2E"/>
    <w:rsid w:val="00740E94"/>
    <w:rsid w:val="0074326B"/>
    <w:rsid w:val="00754649"/>
    <w:rsid w:val="0077242B"/>
    <w:rsid w:val="007848BB"/>
    <w:rsid w:val="00787F75"/>
    <w:rsid w:val="007B48A4"/>
    <w:rsid w:val="007D7776"/>
    <w:rsid w:val="007F492E"/>
    <w:rsid w:val="008128D1"/>
    <w:rsid w:val="00814EF2"/>
    <w:rsid w:val="00833BB8"/>
    <w:rsid w:val="00845B57"/>
    <w:rsid w:val="00846B4E"/>
    <w:rsid w:val="008578FB"/>
    <w:rsid w:val="00882449"/>
    <w:rsid w:val="00897E67"/>
    <w:rsid w:val="008E39E6"/>
    <w:rsid w:val="008E3FD4"/>
    <w:rsid w:val="008E4DAD"/>
    <w:rsid w:val="00903A93"/>
    <w:rsid w:val="00911928"/>
    <w:rsid w:val="009136FA"/>
    <w:rsid w:val="00914E3B"/>
    <w:rsid w:val="009225C3"/>
    <w:rsid w:val="00942B91"/>
    <w:rsid w:val="00946AB2"/>
    <w:rsid w:val="00950966"/>
    <w:rsid w:val="00971FBD"/>
    <w:rsid w:val="009869B8"/>
    <w:rsid w:val="009A27A9"/>
    <w:rsid w:val="009F666A"/>
    <w:rsid w:val="00A22132"/>
    <w:rsid w:val="00A23720"/>
    <w:rsid w:val="00A47E38"/>
    <w:rsid w:val="00A5095E"/>
    <w:rsid w:val="00AB3CA1"/>
    <w:rsid w:val="00AE276E"/>
    <w:rsid w:val="00B046B2"/>
    <w:rsid w:val="00B21BD0"/>
    <w:rsid w:val="00B5515D"/>
    <w:rsid w:val="00B57A21"/>
    <w:rsid w:val="00B732F3"/>
    <w:rsid w:val="00B811CB"/>
    <w:rsid w:val="00B854E1"/>
    <w:rsid w:val="00B90F03"/>
    <w:rsid w:val="00B9246B"/>
    <w:rsid w:val="00BA1A1D"/>
    <w:rsid w:val="00BB1252"/>
    <w:rsid w:val="00BB53FE"/>
    <w:rsid w:val="00BD487E"/>
    <w:rsid w:val="00C10714"/>
    <w:rsid w:val="00C41D28"/>
    <w:rsid w:val="00C46016"/>
    <w:rsid w:val="00C621B3"/>
    <w:rsid w:val="00C62B33"/>
    <w:rsid w:val="00C63CB4"/>
    <w:rsid w:val="00C71D19"/>
    <w:rsid w:val="00C9328F"/>
    <w:rsid w:val="00CA6629"/>
    <w:rsid w:val="00CC1B69"/>
    <w:rsid w:val="00CC5008"/>
    <w:rsid w:val="00CD2F65"/>
    <w:rsid w:val="00CD6002"/>
    <w:rsid w:val="00CE000F"/>
    <w:rsid w:val="00CF1591"/>
    <w:rsid w:val="00CF4E4B"/>
    <w:rsid w:val="00D21E9F"/>
    <w:rsid w:val="00D37B45"/>
    <w:rsid w:val="00D41FD1"/>
    <w:rsid w:val="00D50EA7"/>
    <w:rsid w:val="00D64FE9"/>
    <w:rsid w:val="00DA127D"/>
    <w:rsid w:val="00DA2DA6"/>
    <w:rsid w:val="00DD73C1"/>
    <w:rsid w:val="00DE3941"/>
    <w:rsid w:val="00E04C78"/>
    <w:rsid w:val="00E20628"/>
    <w:rsid w:val="00E67F78"/>
    <w:rsid w:val="00E74484"/>
    <w:rsid w:val="00E81845"/>
    <w:rsid w:val="00EA1BA5"/>
    <w:rsid w:val="00EA6697"/>
    <w:rsid w:val="00EB589E"/>
    <w:rsid w:val="00EC4FED"/>
    <w:rsid w:val="00EC6B47"/>
    <w:rsid w:val="00EE7931"/>
    <w:rsid w:val="00F04206"/>
    <w:rsid w:val="00F2172D"/>
    <w:rsid w:val="00F25C71"/>
    <w:rsid w:val="00F368B9"/>
    <w:rsid w:val="00F43851"/>
    <w:rsid w:val="00F54A61"/>
    <w:rsid w:val="00F80F36"/>
    <w:rsid w:val="00F930E6"/>
    <w:rsid w:val="00F968A6"/>
    <w:rsid w:val="00FC20AD"/>
    <w:rsid w:val="00FC6355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FAABB-1C78-4682-9164-EC0126DE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DF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8E3FD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BD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E1B"/>
  </w:style>
  <w:style w:type="paragraph" w:styleId="a8">
    <w:name w:val="footer"/>
    <w:basedOn w:val="a"/>
    <w:link w:val="a9"/>
    <w:uiPriority w:val="99"/>
    <w:unhideWhenUsed/>
    <w:rsid w:val="0055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E1B"/>
  </w:style>
  <w:style w:type="paragraph" w:styleId="aa">
    <w:name w:val="Balloon Text"/>
    <w:basedOn w:val="a"/>
    <w:link w:val="ab"/>
    <w:uiPriority w:val="99"/>
    <w:semiHidden/>
    <w:unhideWhenUsed/>
    <w:rsid w:val="004B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.kovaleva\Desktop\&#1054;&#1058;&#1063;&#1045;&#1058;&#1067;\2022%20&#1075;.%20&#1043;&#1054;&#1044;&#1054;&#1042;&#1054;&#1049;%20&#1054;&#1058;&#1063;&#1045;&#1058;\&#1044;&#1080;&#1072;&#1075;&#1088;&#1072;&#1084;&#1084;&#1072;%20&#1074;%20Microsoft%20Wor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lnSpc>
                <a:spcPct val="100000"/>
              </a:lnSpc>
              <a:defRPr sz="18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+mn-cs"/>
              </a:defRPr>
            </a:pPr>
            <a:r>
              <a:rPr lang="ru-RU" sz="1200" b="1" i="0" u="none" strike="noStrike" baseline="0">
                <a:latin typeface="Times New Roman" pitchFamily="18" charset="0"/>
              </a:rPr>
              <a:t>Количество обращений граждан, поступивших</a:t>
            </a:r>
            <a:br>
              <a:rPr lang="ru-RU" sz="1200" b="1" i="0" u="none" strike="noStrike" baseline="0">
                <a:latin typeface="Times New Roman" pitchFamily="18" charset="0"/>
              </a:rPr>
            </a:br>
            <a:r>
              <a:rPr lang="ru-RU" sz="1200" b="1" i="0" u="none" strike="noStrike" baseline="0">
                <a:latin typeface="Times New Roman" pitchFamily="18" charset="0"/>
              </a:rPr>
              <a:t>за 2022 год</a:t>
            </a:r>
            <a:endParaRPr lang="ru-RU" sz="12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58836958345688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lnSpc>
              <a:spcPct val="100000"/>
            </a:lnSpc>
            <a:defRPr sz="1800" b="1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-90"/>
      <c:rotY val="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332248061525429E-2"/>
          <c:y val="0.19901152186485163"/>
          <c:w val="0.98574751135032312"/>
          <c:h val="0.54115841452021884"/>
        </c:manualLayout>
      </c:layout>
      <c:bar3DChart>
        <c:barDir val="bar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 w="6350" cap="flat" cmpd="sng" algn="ctr">
              <a:solidFill>
                <a:schemeClr val="lt1"/>
              </a:solidFill>
              <a:prstDash val="solid"/>
              <a:round/>
            </a:ln>
            <a:effectLst/>
            <a:sp3d contourW="6350">
              <a:contourClr>
                <a:schemeClr val="lt1"/>
              </a:contourClr>
            </a:sp3d>
          </c:spPr>
          <c:invertIfNegative val="0"/>
          <c:dLbls>
            <c:dLbl>
              <c:idx val="0"/>
              <c:layout>
                <c:manualLayout>
                  <c:x val="-6.696791094568672E-3"/>
                  <c:y val="1.1147185862208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7157286207361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019300351899726E-3"/>
                  <c:y val="3.81529066356323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019300351899726E-3"/>
                  <c:y val="3.51667657540712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322636981895192E-3"/>
                  <c:y val="3.7157286207361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Письменных обращений</c:v>
                </c:pt>
                <c:pt idx="1">
                  <c:v>Электронной почтой</c:v>
                </c:pt>
                <c:pt idx="2">
                  <c:v>Личный прием</c:v>
                </c:pt>
                <c:pt idx="3">
                  <c:v>Запросы</c:v>
                </c:pt>
                <c:pt idx="4">
                  <c:v>Горячая линия</c:v>
                </c:pt>
                <c:pt idx="5">
                  <c:v>Всего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194</c:v>
                </c:pt>
                <c:pt idx="1">
                  <c:v>1510</c:v>
                </c:pt>
                <c:pt idx="2">
                  <c:v>3</c:v>
                </c:pt>
                <c:pt idx="3">
                  <c:v>1058</c:v>
                </c:pt>
                <c:pt idx="4">
                  <c:v>1</c:v>
                </c:pt>
                <c:pt idx="5">
                  <c:v>2766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390108960"/>
        <c:axId val="-1390105696"/>
        <c:axId val="0"/>
      </c:bar3DChart>
      <c:catAx>
        <c:axId val="-1390108960"/>
        <c:scaling>
          <c:orientation val="minMax"/>
        </c:scaling>
        <c:delete val="1"/>
        <c:axPos val="l"/>
        <c:numFmt formatCode="General" sourceLinked="0"/>
        <c:majorTickMark val="none"/>
        <c:minorTickMark val="none"/>
        <c:tickLblPos val="nextTo"/>
        <c:crossAx val="-1390105696"/>
        <c:crosses val="autoZero"/>
        <c:auto val="1"/>
        <c:lblAlgn val="ctr"/>
        <c:lblOffset val="100"/>
        <c:noMultiLvlLbl val="0"/>
      </c:catAx>
      <c:valAx>
        <c:axId val="-1390105696"/>
        <c:scaling>
          <c:orientation val="minMax"/>
        </c:scaling>
        <c:delete val="1"/>
        <c:axPos val="b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3901089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 за 2022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176</c:v>
                </c:pt>
                <c:pt idx="1">
                  <c:v>200</c:v>
                </c:pt>
                <c:pt idx="2">
                  <c:v>194</c:v>
                </c:pt>
                <c:pt idx="3">
                  <c:v>207</c:v>
                </c:pt>
                <c:pt idx="4">
                  <c:v>204</c:v>
                </c:pt>
                <c:pt idx="5">
                  <c:v>430</c:v>
                </c:pt>
                <c:pt idx="6">
                  <c:v>242</c:v>
                </c:pt>
                <c:pt idx="7">
                  <c:v>252</c:v>
                </c:pt>
                <c:pt idx="8">
                  <c:v>264</c:v>
                </c:pt>
                <c:pt idx="9">
                  <c:v>195</c:v>
                </c:pt>
                <c:pt idx="10">
                  <c:v>188</c:v>
                </c:pt>
                <c:pt idx="11">
                  <c:v>214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поступивших обращений за 2021 год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123</c:v>
                </c:pt>
                <c:pt idx="1">
                  <c:v>186</c:v>
                </c:pt>
                <c:pt idx="2">
                  <c:v>223</c:v>
                </c:pt>
                <c:pt idx="3">
                  <c:v>220</c:v>
                </c:pt>
                <c:pt idx="4">
                  <c:v>229</c:v>
                </c:pt>
                <c:pt idx="5">
                  <c:v>323</c:v>
                </c:pt>
                <c:pt idx="6">
                  <c:v>458</c:v>
                </c:pt>
                <c:pt idx="7">
                  <c:v>229</c:v>
                </c:pt>
                <c:pt idx="8">
                  <c:v>338</c:v>
                </c:pt>
                <c:pt idx="9">
                  <c:v>241</c:v>
                </c:pt>
                <c:pt idx="10">
                  <c:v>238</c:v>
                </c:pt>
                <c:pt idx="11">
                  <c:v>218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390104608"/>
        <c:axId val="-1390106240"/>
      </c:barChart>
      <c:catAx>
        <c:axId val="-139010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90106240"/>
        <c:crosses val="autoZero"/>
        <c:auto val="1"/>
        <c:lblAlgn val="ctr"/>
        <c:lblOffset val="100"/>
        <c:noMultiLvlLbl val="0"/>
      </c:catAx>
      <c:valAx>
        <c:axId val="-13901062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39010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0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6A5B-2AF3-4F5F-9B60-C0101144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Суша Ольга Владимировна</dc:creator>
  <cp:keywords/>
  <dc:description/>
  <cp:lastModifiedBy>Ежова Маргарита Юрьевна</cp:lastModifiedBy>
  <cp:revision>96</cp:revision>
  <cp:lastPrinted>2023-02-13T06:34:00Z</cp:lastPrinted>
  <dcterms:created xsi:type="dcterms:W3CDTF">2022-01-14T08:03:00Z</dcterms:created>
  <dcterms:modified xsi:type="dcterms:W3CDTF">2023-02-14T10:33:00Z</dcterms:modified>
</cp:coreProperties>
</file>